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8A2" w:rsidRPr="00F50CE2" w:rsidRDefault="006E78A2" w:rsidP="00CD5DF1">
      <w:pPr>
        <w:spacing w:after="0" w:line="360" w:lineRule="auto"/>
        <w:ind w:firstLine="567"/>
        <w:jc w:val="both"/>
        <w:rPr>
          <w:rFonts w:ascii="Tahoma" w:hAnsi="Tahoma" w:cs="Tahoma"/>
          <w:b/>
          <w:bCs/>
          <w:lang w:val="en-US"/>
        </w:rPr>
      </w:pPr>
      <w:bookmarkStart w:id="0" w:name="_GoBack"/>
      <w:bookmarkEnd w:id="0"/>
      <w:r w:rsidRPr="00F50CE2">
        <w:rPr>
          <w:rFonts w:ascii="Tahoma" w:hAnsi="Tahoma" w:cs="Tahoma"/>
          <w:b/>
          <w:bCs/>
        </w:rPr>
        <w:t xml:space="preserve">Информация във връзка с изменение на </w:t>
      </w:r>
      <w:r w:rsidRPr="00F50CE2">
        <w:rPr>
          <w:rFonts w:ascii="Tahoma" w:hAnsi="Tahoma" w:cs="Tahoma"/>
          <w:b/>
          <w:bCs/>
          <w:lang w:eastAsia="bg-BG"/>
        </w:rPr>
        <w:t>мярка 19 „Водено от общностите местно развитие”(ВОМР)</w:t>
      </w:r>
      <w:r w:rsidRPr="00F50CE2">
        <w:rPr>
          <w:rFonts w:ascii="Tahoma" w:hAnsi="Tahoma" w:cs="Tahoma"/>
          <w:b/>
          <w:bCs/>
          <w:lang w:val="en-US" w:eastAsia="bg-BG"/>
        </w:rPr>
        <w:t xml:space="preserve"> </w:t>
      </w:r>
      <w:r w:rsidRPr="00F50CE2">
        <w:rPr>
          <w:rFonts w:ascii="Tahoma" w:hAnsi="Tahoma" w:cs="Tahoma"/>
          <w:b/>
          <w:bCs/>
          <w:lang w:eastAsia="bg-BG"/>
        </w:rPr>
        <w:t>на</w:t>
      </w:r>
      <w:r w:rsidRPr="00F50CE2">
        <w:rPr>
          <w:rFonts w:ascii="Tahoma" w:hAnsi="Tahoma" w:cs="Tahoma"/>
          <w:b/>
          <w:bCs/>
          <w:lang w:val="en-US" w:eastAsia="bg-BG"/>
        </w:rPr>
        <w:t xml:space="preserve"> </w:t>
      </w:r>
      <w:r w:rsidRPr="00F50CE2">
        <w:rPr>
          <w:rFonts w:ascii="Tahoma" w:hAnsi="Tahoma" w:cs="Tahoma"/>
          <w:b/>
          <w:bCs/>
        </w:rPr>
        <w:t>ПРСР 20</w:t>
      </w:r>
      <w:r w:rsidRPr="00F50CE2">
        <w:rPr>
          <w:rFonts w:ascii="Tahoma" w:hAnsi="Tahoma" w:cs="Tahoma"/>
          <w:b/>
          <w:bCs/>
          <w:lang w:val="ru-RU"/>
        </w:rPr>
        <w:t xml:space="preserve">14 </w:t>
      </w:r>
      <w:r w:rsidRPr="00F50CE2">
        <w:rPr>
          <w:rFonts w:ascii="Tahoma" w:hAnsi="Tahoma" w:cs="Tahoma"/>
          <w:b/>
          <w:bCs/>
        </w:rPr>
        <w:t>– 20</w:t>
      </w:r>
      <w:r w:rsidRPr="00F50CE2">
        <w:rPr>
          <w:rFonts w:ascii="Tahoma" w:hAnsi="Tahoma" w:cs="Tahoma"/>
          <w:b/>
          <w:bCs/>
          <w:lang w:val="ru-RU"/>
        </w:rPr>
        <w:t>20</w:t>
      </w:r>
      <w:r w:rsidRPr="00F50CE2">
        <w:rPr>
          <w:rFonts w:ascii="Tahoma" w:hAnsi="Tahoma" w:cs="Tahoma"/>
          <w:b/>
          <w:bCs/>
        </w:rPr>
        <w:t xml:space="preserve"> г.</w:t>
      </w:r>
    </w:p>
    <w:p w:rsidR="00D711B2" w:rsidRPr="00F50CE2" w:rsidRDefault="00D711B2" w:rsidP="00CD5DF1">
      <w:pPr>
        <w:spacing w:after="0" w:line="360" w:lineRule="auto"/>
        <w:ind w:firstLine="567"/>
        <w:jc w:val="both"/>
        <w:rPr>
          <w:rFonts w:ascii="Tahoma" w:hAnsi="Tahoma" w:cs="Tahoma"/>
          <w:bCs/>
        </w:rPr>
      </w:pPr>
    </w:p>
    <w:p w:rsidR="006E78A2" w:rsidRPr="00F50CE2" w:rsidRDefault="00B32F4D" w:rsidP="00CD5DF1">
      <w:pPr>
        <w:spacing w:after="0" w:line="360" w:lineRule="auto"/>
        <w:ind w:firstLine="567"/>
        <w:jc w:val="both"/>
        <w:rPr>
          <w:rFonts w:ascii="Tahoma" w:hAnsi="Tahoma" w:cs="Tahoma"/>
          <w:bCs/>
        </w:rPr>
      </w:pPr>
      <w:r w:rsidRPr="00F50CE2">
        <w:rPr>
          <w:rFonts w:ascii="Tahoma" w:hAnsi="Tahoma" w:cs="Tahoma"/>
          <w:bCs/>
        </w:rPr>
        <w:t xml:space="preserve">На заседание на Комитета по наблюдение на ПРСР 2014-2020 г., проведено на </w:t>
      </w:r>
      <w:r w:rsidR="006E78A2" w:rsidRPr="00F50CE2">
        <w:rPr>
          <w:rFonts w:ascii="Tahoma" w:hAnsi="Tahoma" w:cs="Tahoma"/>
          <w:bCs/>
        </w:rPr>
        <w:t>25</w:t>
      </w:r>
      <w:r w:rsidRPr="00F50CE2">
        <w:rPr>
          <w:rFonts w:ascii="Tahoma" w:hAnsi="Tahoma" w:cs="Tahoma"/>
          <w:bCs/>
        </w:rPr>
        <w:t xml:space="preserve"> </w:t>
      </w:r>
      <w:r w:rsidR="006E78A2" w:rsidRPr="00F50CE2">
        <w:rPr>
          <w:rFonts w:ascii="Tahoma" w:hAnsi="Tahoma" w:cs="Tahoma"/>
          <w:bCs/>
        </w:rPr>
        <w:t>септември</w:t>
      </w:r>
      <w:r w:rsidRPr="00F50CE2">
        <w:rPr>
          <w:rFonts w:ascii="Tahoma" w:hAnsi="Tahoma" w:cs="Tahoma"/>
          <w:bCs/>
        </w:rPr>
        <w:t xml:space="preserve"> 201</w:t>
      </w:r>
      <w:r w:rsidR="006E78A2" w:rsidRPr="00F50CE2">
        <w:rPr>
          <w:rFonts w:ascii="Tahoma" w:hAnsi="Tahoma" w:cs="Tahoma"/>
          <w:bCs/>
        </w:rPr>
        <w:t>5</w:t>
      </w:r>
      <w:r w:rsidRPr="00F50CE2">
        <w:rPr>
          <w:rFonts w:ascii="Tahoma" w:hAnsi="Tahoma" w:cs="Tahoma"/>
          <w:bCs/>
        </w:rPr>
        <w:t xml:space="preserve"> г. беше взето решение </w:t>
      </w:r>
      <w:r w:rsidRPr="00F50CE2">
        <w:rPr>
          <w:rFonts w:ascii="Tahoma" w:eastAsia="Times New Roman" w:hAnsi="Tahoma" w:cs="Tahoma"/>
          <w:lang w:eastAsia="bg-BG"/>
        </w:rPr>
        <w:t>за изменение и допълнение на мярка 1</w:t>
      </w:r>
      <w:r w:rsidR="006E78A2" w:rsidRPr="00F50CE2">
        <w:rPr>
          <w:rFonts w:ascii="Tahoma" w:eastAsia="Times New Roman" w:hAnsi="Tahoma" w:cs="Tahoma"/>
          <w:lang w:eastAsia="bg-BG"/>
        </w:rPr>
        <w:t>9</w:t>
      </w:r>
      <w:r w:rsidRPr="00F50CE2">
        <w:rPr>
          <w:rFonts w:ascii="Tahoma" w:eastAsia="Times New Roman" w:hAnsi="Tahoma" w:cs="Tahoma"/>
          <w:lang w:eastAsia="bg-BG"/>
        </w:rPr>
        <w:t xml:space="preserve"> „</w:t>
      </w:r>
      <w:r w:rsidR="006E78A2" w:rsidRPr="00F50CE2">
        <w:rPr>
          <w:rFonts w:ascii="Tahoma" w:eastAsia="Times New Roman" w:hAnsi="Tahoma" w:cs="Tahoma"/>
          <w:lang w:eastAsia="bg-BG"/>
        </w:rPr>
        <w:t>Водено от общностите местно развитие</w:t>
      </w:r>
      <w:r w:rsidRPr="00F50CE2">
        <w:rPr>
          <w:rFonts w:ascii="Tahoma" w:eastAsia="Times New Roman" w:hAnsi="Tahoma" w:cs="Tahoma"/>
          <w:lang w:eastAsia="bg-BG"/>
        </w:rPr>
        <w:t xml:space="preserve">” </w:t>
      </w:r>
      <w:r w:rsidR="00061E68" w:rsidRPr="00F50CE2">
        <w:rPr>
          <w:rFonts w:ascii="Tahoma" w:eastAsia="Times New Roman" w:hAnsi="Tahoma" w:cs="Tahoma"/>
          <w:lang w:eastAsia="bg-BG"/>
        </w:rPr>
        <w:t xml:space="preserve">с цел разширяване на обхвата на </w:t>
      </w:r>
      <w:r w:rsidR="006E78A2" w:rsidRPr="00F50CE2">
        <w:rPr>
          <w:rFonts w:ascii="Tahoma" w:eastAsia="Times New Roman" w:hAnsi="Tahoma" w:cs="Tahoma"/>
          <w:lang w:eastAsia="bg-BG"/>
        </w:rPr>
        <w:t>прилагане на подмерки 19.1, 19.3 и 19.4</w:t>
      </w:r>
      <w:r w:rsidRPr="00F50CE2">
        <w:rPr>
          <w:rFonts w:ascii="Tahoma" w:eastAsia="Times New Roman" w:hAnsi="Tahoma" w:cs="Tahoma"/>
          <w:lang w:eastAsia="bg-BG"/>
        </w:rPr>
        <w:t>.</w:t>
      </w:r>
      <w:r w:rsidRPr="00F50CE2">
        <w:rPr>
          <w:rFonts w:ascii="Tahoma" w:hAnsi="Tahoma" w:cs="Tahoma"/>
          <w:bCs/>
        </w:rPr>
        <w:t xml:space="preserve"> </w:t>
      </w:r>
    </w:p>
    <w:p w:rsidR="006E78A2" w:rsidRPr="00F50CE2" w:rsidRDefault="006E78A2" w:rsidP="00CD5DF1">
      <w:pPr>
        <w:spacing w:after="0" w:line="360" w:lineRule="auto"/>
        <w:ind w:firstLine="567"/>
        <w:jc w:val="both"/>
        <w:rPr>
          <w:rFonts w:ascii="Tahoma" w:hAnsi="Tahoma" w:cs="Tahoma"/>
          <w:bCs/>
          <w:u w:val="single"/>
        </w:rPr>
      </w:pPr>
      <w:r w:rsidRPr="00F50CE2">
        <w:rPr>
          <w:rFonts w:ascii="Tahoma" w:hAnsi="Tahoma" w:cs="Tahoma"/>
          <w:bCs/>
          <w:u w:val="single"/>
        </w:rPr>
        <w:t>Причини, които налагат промяната:</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Мярка 19 „Водено от общностите местно развитие”</w:t>
      </w:r>
      <w:r w:rsidR="00802B96" w:rsidRPr="00F50CE2">
        <w:rPr>
          <w:rFonts w:ascii="Tahoma" w:hAnsi="Tahoma" w:cs="Tahoma"/>
          <w:bCs/>
          <w:lang w:val="en-US"/>
        </w:rPr>
        <w:t xml:space="preserve"> </w:t>
      </w:r>
      <w:r w:rsidRPr="00F50CE2">
        <w:rPr>
          <w:rFonts w:ascii="Tahoma" w:hAnsi="Tahoma" w:cs="Tahoma"/>
          <w:bCs/>
        </w:rPr>
        <w:t>(ВОМР)</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В споразумението за партньорство и в ПРСР е записано, че ВОМР се прилага в рамките на селските райони, рибарските райони и на следните територии със специфични характеристики, определени в Националната концепция за пространствено развитие:</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w:t>
      </w:r>
      <w:r w:rsidRPr="00F50CE2">
        <w:rPr>
          <w:rFonts w:ascii="Tahoma" w:hAnsi="Tahoma" w:cs="Tahoma"/>
          <w:bCs/>
        </w:rPr>
        <w:tab/>
        <w:t>крайбрежните територии (Черноморски и Дунавски), включващи крайбрежни общини по Черноморието и река Дунав;</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w:t>
      </w:r>
      <w:r w:rsidRPr="00F50CE2">
        <w:rPr>
          <w:rFonts w:ascii="Tahoma" w:hAnsi="Tahoma" w:cs="Tahoma"/>
          <w:bCs/>
        </w:rPr>
        <w:tab/>
        <w:t>планинските територии, включващи общини и селища, чиито землища отговарят на един от 3-те критерия – надморска височина над 700 м., среден наклон над 20% или надморска височина над 500 м. и наклон над 15%;</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w:t>
      </w:r>
      <w:r w:rsidRPr="00F50CE2">
        <w:rPr>
          <w:rFonts w:ascii="Tahoma" w:hAnsi="Tahoma" w:cs="Tahoma"/>
          <w:bCs/>
        </w:rPr>
        <w:tab/>
        <w:t>граничните територии, включващи общини със сухоземна граница, повечето от които са и планински;</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w:t>
      </w:r>
      <w:r w:rsidRPr="00F50CE2">
        <w:rPr>
          <w:rFonts w:ascii="Tahoma" w:hAnsi="Tahoma" w:cs="Tahoma"/>
          <w:bCs/>
        </w:rPr>
        <w:tab/>
        <w:t>териториите в риск, включващи общини с критично намаляване на населението и икономическата активност. Територии в екологичен, демографски и икономически риск.</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w:t>
      </w:r>
      <w:r w:rsidRPr="00F50CE2">
        <w:rPr>
          <w:rFonts w:ascii="Tahoma" w:hAnsi="Tahoma" w:cs="Tahoma"/>
          <w:bCs/>
        </w:rPr>
        <w:tab/>
        <w:t>териториите за опазване на ландшафта, природните и културни ценности, включващи територии зони и обекти от Националната екологична мрежа, територии наситени с природни ценности, територии за превантивна защита.</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 xml:space="preserve">Същевременно в ПРСР, в текста на точка Общо описание на мярка 19 е записано, че подкрепата по Европейския земеделски фонд за развитие на селските райони (ЕЗФРСР) се прилага само на територията на селски райони. </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Този текст стеснява обхвата , заложен в одобреното Споразумение за партньорство, в което е записано че подмерките 19.1 „Помощ за подготвителни дейности“, 19.3 „Подготовка и изпълнение на дейностите за сътрудничество на местни инициативни групи“ (МИГ) и 19.4 „Текущите разходи и популяризиране на стратегията за ВОМР“ (когато УО на ПРСР е водещ фонд), независимо от териториалния обхват на МИГ ще бъдат финансирани от ЕЗФРСР.</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lastRenderedPageBreak/>
        <w:t xml:space="preserve">Местна инициативна група, която включва и територия извън селски район в обхвата на подхода, няма да може да прилага своята стратегия за местно развитие пълноценно, тъй като няма да може да финансира  дейности по цитираните </w:t>
      </w:r>
      <w:r w:rsidR="000447DF" w:rsidRPr="00F50CE2">
        <w:rPr>
          <w:rFonts w:ascii="Tahoma" w:hAnsi="Tahoma" w:cs="Tahoma"/>
          <w:bCs/>
        </w:rPr>
        <w:t>под</w:t>
      </w:r>
      <w:r w:rsidRPr="00F50CE2">
        <w:rPr>
          <w:rFonts w:ascii="Tahoma" w:hAnsi="Tahoma" w:cs="Tahoma"/>
          <w:bCs/>
        </w:rPr>
        <w:t>мерки на територията си извън селския район.</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В тази връзка се предлага промяна в текста на точка „Общо описание на мярката“ от мярка 19 ВОМР на ПРСР 2014 – 2020 г., така, че да става ясно, че подмерки 19.1 „Помощ за подготвителни дейности”, 19.3 „Подготовка и изпълнение на дейности за сътрудничество на местни инициативни групи” и 19.4 „Текущите разходи и популяризиране на стратегията за ВОМР” ще могат да се изпълняват  на цялата територия на прилагане на подхода ВОМР.</w:t>
      </w:r>
    </w:p>
    <w:p w:rsidR="006E78A2" w:rsidRPr="00F50CE2" w:rsidRDefault="006E78A2" w:rsidP="00CD5DF1">
      <w:pPr>
        <w:spacing w:after="0" w:line="360" w:lineRule="auto"/>
        <w:ind w:firstLine="567"/>
        <w:jc w:val="both"/>
        <w:rPr>
          <w:rFonts w:ascii="Tahoma" w:hAnsi="Tahoma" w:cs="Tahoma"/>
          <w:bCs/>
        </w:rPr>
      </w:pPr>
      <w:r w:rsidRPr="00F50CE2">
        <w:rPr>
          <w:rFonts w:ascii="Tahoma" w:hAnsi="Tahoma" w:cs="Tahoma"/>
          <w:bCs/>
        </w:rPr>
        <w:t>Освен това е необходимо да бъде допълнен текста на точка Условия за допустимост на подмярка 19.2 „Прилагане на операции в рамките на стратегии за водено от общностите местно развитие”. От него трябва да става ясно, че подкрепата по тази подмярка със средства по ЕЗФРСР ще се предоставя само на територията на селски район.</w:t>
      </w:r>
    </w:p>
    <w:p w:rsidR="00B32F4D" w:rsidRPr="00F50CE2" w:rsidRDefault="00B32F4D" w:rsidP="00CD5DF1">
      <w:pPr>
        <w:spacing w:after="0" w:line="360" w:lineRule="auto"/>
        <w:ind w:firstLine="567"/>
        <w:jc w:val="both"/>
        <w:rPr>
          <w:rFonts w:ascii="Tahoma" w:hAnsi="Tahoma" w:cs="Tahoma"/>
          <w:bCs/>
        </w:rPr>
      </w:pPr>
      <w:r w:rsidRPr="00F50CE2">
        <w:rPr>
          <w:rFonts w:ascii="Tahoma" w:hAnsi="Tahoma" w:cs="Tahoma"/>
          <w:bCs/>
        </w:rPr>
        <w:t xml:space="preserve">След проведена дискусия </w:t>
      </w:r>
      <w:r w:rsidR="00061E68" w:rsidRPr="00F50CE2">
        <w:rPr>
          <w:rFonts w:ascii="Tahoma" w:hAnsi="Tahoma" w:cs="Tahoma"/>
          <w:bCs/>
        </w:rPr>
        <w:t xml:space="preserve">и </w:t>
      </w:r>
      <w:r w:rsidR="0063062D" w:rsidRPr="00F50CE2">
        <w:rPr>
          <w:rFonts w:ascii="Tahoma" w:hAnsi="Tahoma" w:cs="Tahoma"/>
          <w:bCs/>
        </w:rPr>
        <w:t xml:space="preserve">в </w:t>
      </w:r>
      <w:r w:rsidR="00061E68" w:rsidRPr="00F50CE2">
        <w:rPr>
          <w:rFonts w:ascii="Tahoma" w:hAnsi="Tahoma" w:cs="Tahoma"/>
          <w:bCs/>
        </w:rPr>
        <w:t>резултат на решение</w:t>
      </w:r>
      <w:r w:rsidR="006E78A2" w:rsidRPr="00F50CE2">
        <w:rPr>
          <w:rFonts w:ascii="Tahoma" w:hAnsi="Tahoma" w:cs="Tahoma"/>
          <w:bCs/>
        </w:rPr>
        <w:t>то</w:t>
      </w:r>
      <w:r w:rsidR="00061E68" w:rsidRPr="00F50CE2">
        <w:rPr>
          <w:rFonts w:ascii="Tahoma" w:hAnsi="Tahoma" w:cs="Tahoma"/>
          <w:bCs/>
        </w:rPr>
        <w:t xml:space="preserve"> на К</w:t>
      </w:r>
      <w:r w:rsidR="0063062D" w:rsidRPr="00F50CE2">
        <w:rPr>
          <w:rFonts w:ascii="Tahoma" w:hAnsi="Tahoma" w:cs="Tahoma"/>
          <w:bCs/>
        </w:rPr>
        <w:t>омитета</w:t>
      </w:r>
      <w:r w:rsidR="00061E68" w:rsidRPr="00F50CE2">
        <w:rPr>
          <w:rFonts w:ascii="Tahoma" w:hAnsi="Tahoma" w:cs="Tahoma"/>
          <w:bCs/>
        </w:rPr>
        <w:t xml:space="preserve">, УО на ПРСР предлага извършване на следните промени: </w:t>
      </w:r>
    </w:p>
    <w:p w:rsidR="00D01145" w:rsidRPr="00F50CE2" w:rsidRDefault="00D01145" w:rsidP="00CD5DF1">
      <w:pPr>
        <w:spacing w:after="0" w:line="360" w:lineRule="auto"/>
        <w:ind w:firstLine="567"/>
        <w:jc w:val="both"/>
        <w:rPr>
          <w:rFonts w:ascii="Tahoma" w:hAnsi="Tahoma" w:cs="Tahoma"/>
        </w:rPr>
      </w:pPr>
      <w:r w:rsidRPr="00F50CE2">
        <w:rPr>
          <w:rFonts w:ascii="Tahoma" w:hAnsi="Tahoma" w:cs="Tahoma"/>
        </w:rPr>
        <w:t xml:space="preserve">1. В т. „Общо описание на мярката, включително нейната интервенционна логика и нейният принос за областите с поставен акцент и </w:t>
      </w:r>
      <w:proofErr w:type="spellStart"/>
      <w:r w:rsidRPr="00F50CE2">
        <w:rPr>
          <w:rFonts w:ascii="Tahoma" w:hAnsi="Tahoma" w:cs="Tahoma"/>
        </w:rPr>
        <w:t>междусекторните</w:t>
      </w:r>
      <w:proofErr w:type="spellEnd"/>
      <w:r w:rsidRPr="00F50CE2">
        <w:rPr>
          <w:rFonts w:ascii="Tahoma" w:hAnsi="Tahoma" w:cs="Tahoma"/>
        </w:rPr>
        <w:t xml:space="preserve"> цели“: Подкрепата по Европейския земеделски фонд за развитие на селските райони по подмярка 19.2 „Прилагане на операции в рамките на стратегии за водено от общностите местно развитие“</w:t>
      </w:r>
      <w:r w:rsidR="009224F8" w:rsidRPr="00F50CE2">
        <w:rPr>
          <w:rFonts w:ascii="Tahoma" w:hAnsi="Tahoma" w:cs="Tahoma"/>
        </w:rPr>
        <w:t xml:space="preserve"> </w:t>
      </w:r>
      <w:r w:rsidRPr="00F50CE2">
        <w:rPr>
          <w:rFonts w:ascii="Tahoma" w:hAnsi="Tahoma" w:cs="Tahoma"/>
        </w:rPr>
        <w:t>се предоставя само на територията на селските райони, а по останалите подмерки – на цялата територия на прилагане на подхода ВОМР.</w:t>
      </w:r>
    </w:p>
    <w:p w:rsidR="00D01145" w:rsidRPr="00F50CE2" w:rsidRDefault="00D01145" w:rsidP="00CD5DF1">
      <w:pPr>
        <w:spacing w:after="0" w:line="360" w:lineRule="auto"/>
        <w:ind w:firstLine="567"/>
        <w:jc w:val="both"/>
        <w:rPr>
          <w:rFonts w:ascii="Tahoma" w:hAnsi="Tahoma" w:cs="Tahoma"/>
        </w:rPr>
      </w:pPr>
      <w:r w:rsidRPr="00F50CE2">
        <w:rPr>
          <w:rFonts w:ascii="Tahoma" w:hAnsi="Tahoma" w:cs="Tahoma"/>
        </w:rPr>
        <w:t xml:space="preserve">2. В т. „Условия за допустимост“ на подмярка 19.2 се правят следните промени: </w:t>
      </w:r>
    </w:p>
    <w:p w:rsidR="00D01145" w:rsidRPr="00F50CE2" w:rsidRDefault="00D01145" w:rsidP="00CD5DF1">
      <w:pPr>
        <w:spacing w:after="0" w:line="360" w:lineRule="auto"/>
        <w:ind w:firstLine="567"/>
        <w:rPr>
          <w:rFonts w:ascii="Tahoma" w:hAnsi="Tahoma" w:cs="Tahoma"/>
        </w:rPr>
      </w:pPr>
      <w:r w:rsidRPr="00F50CE2">
        <w:rPr>
          <w:rFonts w:ascii="Tahoma" w:hAnsi="Tahoma" w:cs="Tahoma"/>
        </w:rPr>
        <w:t>Добавя се уточняващ текст (подчертан):</w:t>
      </w:r>
    </w:p>
    <w:p w:rsidR="00D01145" w:rsidRPr="00F50CE2" w:rsidRDefault="00D01145" w:rsidP="00CD5DF1">
      <w:pPr>
        <w:spacing w:after="0" w:line="360" w:lineRule="auto"/>
        <w:ind w:firstLine="567"/>
        <w:rPr>
          <w:rFonts w:ascii="Tahoma" w:hAnsi="Tahoma" w:cs="Tahoma"/>
        </w:rPr>
      </w:pPr>
      <w:r w:rsidRPr="00F50CE2">
        <w:rPr>
          <w:rFonts w:ascii="Tahoma" w:hAnsi="Tahoma" w:cs="Tahoma"/>
        </w:rPr>
        <w:t xml:space="preserve">Бенефициентите по подмярката са с постоянен адрес или седалище на територията на МИГ, </w:t>
      </w:r>
      <w:r w:rsidRPr="00F50CE2">
        <w:rPr>
          <w:rFonts w:ascii="Tahoma" w:hAnsi="Tahoma" w:cs="Tahoma"/>
          <w:u w:val="single"/>
        </w:rPr>
        <w:t>с изключение на бенефициентите общини от селските райони със седалище в областен град.</w:t>
      </w:r>
    </w:p>
    <w:p w:rsidR="00D01145" w:rsidRPr="00F50CE2" w:rsidRDefault="00D01145" w:rsidP="00CD5DF1">
      <w:pPr>
        <w:spacing w:after="0" w:line="360" w:lineRule="auto"/>
        <w:ind w:firstLine="567"/>
        <w:jc w:val="both"/>
        <w:rPr>
          <w:rFonts w:ascii="Tahoma" w:hAnsi="Tahoma" w:cs="Tahoma"/>
        </w:rPr>
      </w:pPr>
      <w:r w:rsidRPr="00F50CE2">
        <w:rPr>
          <w:rFonts w:ascii="Tahoma" w:hAnsi="Tahoma" w:cs="Tahoma"/>
        </w:rPr>
        <w:t>Добавя се нов текст:</w:t>
      </w:r>
    </w:p>
    <w:p w:rsidR="00D01145" w:rsidRPr="00F50CE2" w:rsidRDefault="00D01145" w:rsidP="00CD5DF1">
      <w:pPr>
        <w:spacing w:after="0" w:line="360" w:lineRule="auto"/>
        <w:ind w:firstLine="567"/>
        <w:jc w:val="both"/>
        <w:rPr>
          <w:rFonts w:ascii="Tahoma" w:hAnsi="Tahoma" w:cs="Tahoma"/>
          <w:bCs/>
          <w:color w:val="000000"/>
        </w:rPr>
        <w:sectPr w:rsidR="00D01145" w:rsidRPr="00F50CE2" w:rsidSect="00CD5DF1">
          <w:headerReference w:type="default" r:id="rId9"/>
          <w:footerReference w:type="default" r:id="rId10"/>
          <w:pgSz w:w="11906" w:h="16838"/>
          <w:pgMar w:top="1417" w:right="1417" w:bottom="851" w:left="1276" w:header="708" w:footer="708" w:gutter="0"/>
          <w:cols w:space="708"/>
          <w:docGrid w:linePitch="360"/>
        </w:sectPr>
      </w:pPr>
      <w:r w:rsidRPr="00F50CE2">
        <w:rPr>
          <w:rFonts w:ascii="Tahoma" w:hAnsi="Tahoma" w:cs="Tahoma"/>
        </w:rPr>
        <w:t xml:space="preserve">Подкрепата от Европейския земеделски фонд за развитие на селските райони се предоставя само за територията на селския район на МИГ, </w:t>
      </w:r>
      <w:r w:rsidRPr="00F50CE2">
        <w:rPr>
          <w:rFonts w:ascii="Tahoma" w:hAnsi="Tahoma" w:cs="Tahoma"/>
          <w:lang w:eastAsia="bg-BG"/>
        </w:rPr>
        <w:t xml:space="preserve">като бенефициентите са с постоянен адрес или седалище на територията на селския район, </w:t>
      </w:r>
      <w:r w:rsidRPr="00F50CE2">
        <w:rPr>
          <w:rFonts w:ascii="Tahoma" w:hAnsi="Tahoma" w:cs="Tahoma"/>
        </w:rPr>
        <w:t>с изключение на бенефициентите общини от селските райони със седалище в областен град.</w:t>
      </w:r>
    </w:p>
    <w:p w:rsidR="000122FA" w:rsidRPr="00F50CE2" w:rsidRDefault="000122FA" w:rsidP="00687CD7">
      <w:pPr>
        <w:spacing w:after="0" w:line="240" w:lineRule="auto"/>
        <w:jc w:val="both"/>
        <w:rPr>
          <w:rFonts w:ascii="Tahoma" w:hAnsi="Tahoma" w:cs="Tahoma"/>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71"/>
        <w:gridCol w:w="4396"/>
        <w:gridCol w:w="4257"/>
        <w:gridCol w:w="1880"/>
      </w:tblGrid>
      <w:tr w:rsidR="000122FA" w:rsidRPr="00F50CE2" w:rsidTr="004B06DD">
        <w:tc>
          <w:tcPr>
            <w:tcW w:w="181" w:type="pct"/>
            <w:shd w:val="clear" w:color="auto" w:fill="D9D9D9"/>
          </w:tcPr>
          <w:p w:rsidR="000122FA" w:rsidRPr="00F50CE2" w:rsidRDefault="000122FA" w:rsidP="00687CD7">
            <w:pPr>
              <w:spacing w:after="0" w:line="240" w:lineRule="auto"/>
              <w:jc w:val="center"/>
              <w:rPr>
                <w:rFonts w:ascii="Tahoma" w:hAnsi="Tahoma" w:cs="Tahoma"/>
                <w:b/>
                <w:bCs/>
                <w:sz w:val="20"/>
                <w:szCs w:val="20"/>
              </w:rPr>
            </w:pPr>
            <w:r w:rsidRPr="00F50CE2">
              <w:rPr>
                <w:rFonts w:ascii="Tahoma" w:hAnsi="Tahoma" w:cs="Tahoma"/>
                <w:b/>
                <w:bCs/>
                <w:sz w:val="20"/>
                <w:szCs w:val="20"/>
              </w:rPr>
              <w:t>№</w:t>
            </w:r>
          </w:p>
        </w:tc>
        <w:tc>
          <w:tcPr>
            <w:tcW w:w="1115" w:type="pct"/>
            <w:shd w:val="clear" w:color="auto" w:fill="D9D9D9"/>
            <w:vAlign w:val="center"/>
          </w:tcPr>
          <w:p w:rsidR="000122FA" w:rsidRPr="00F50CE2" w:rsidRDefault="000122FA" w:rsidP="00687CD7">
            <w:pPr>
              <w:spacing w:after="0" w:line="240" w:lineRule="auto"/>
              <w:jc w:val="center"/>
              <w:rPr>
                <w:rFonts w:ascii="Tahoma" w:hAnsi="Tahoma" w:cs="Tahoma"/>
                <w:b/>
                <w:bCs/>
                <w:sz w:val="20"/>
                <w:szCs w:val="20"/>
              </w:rPr>
            </w:pPr>
            <w:r w:rsidRPr="00F50CE2">
              <w:rPr>
                <w:rFonts w:ascii="Tahoma" w:hAnsi="Tahoma" w:cs="Tahoma"/>
                <w:b/>
                <w:bCs/>
                <w:sz w:val="20"/>
                <w:szCs w:val="20"/>
              </w:rPr>
              <w:t>Част от ПРСР в която се прави предложение за промяна</w:t>
            </w:r>
          </w:p>
        </w:tc>
        <w:tc>
          <w:tcPr>
            <w:tcW w:w="1546" w:type="pct"/>
            <w:shd w:val="clear" w:color="auto" w:fill="D9D9D9"/>
            <w:vAlign w:val="center"/>
          </w:tcPr>
          <w:p w:rsidR="000122FA" w:rsidRPr="00F50CE2" w:rsidRDefault="000122FA" w:rsidP="00687CD7">
            <w:pPr>
              <w:spacing w:after="0" w:line="240" w:lineRule="auto"/>
              <w:jc w:val="center"/>
              <w:rPr>
                <w:rFonts w:ascii="Tahoma" w:hAnsi="Tahoma" w:cs="Tahoma"/>
                <w:b/>
                <w:bCs/>
                <w:sz w:val="20"/>
                <w:szCs w:val="20"/>
              </w:rPr>
            </w:pPr>
            <w:r w:rsidRPr="00F50CE2">
              <w:rPr>
                <w:rFonts w:ascii="Tahoma" w:hAnsi="Tahoma" w:cs="Tahoma"/>
                <w:b/>
                <w:bCs/>
                <w:sz w:val="20"/>
                <w:szCs w:val="20"/>
              </w:rPr>
              <w:t>Настоящ текст в ПРСР</w:t>
            </w:r>
          </w:p>
        </w:tc>
        <w:tc>
          <w:tcPr>
            <w:tcW w:w="1497" w:type="pct"/>
            <w:shd w:val="clear" w:color="auto" w:fill="D9D9D9"/>
            <w:vAlign w:val="center"/>
          </w:tcPr>
          <w:p w:rsidR="000122FA" w:rsidRPr="00F50CE2" w:rsidRDefault="000122FA" w:rsidP="00687CD7">
            <w:pPr>
              <w:spacing w:after="0" w:line="240" w:lineRule="auto"/>
              <w:jc w:val="center"/>
              <w:rPr>
                <w:rFonts w:ascii="Tahoma" w:hAnsi="Tahoma" w:cs="Tahoma"/>
                <w:b/>
                <w:bCs/>
                <w:sz w:val="20"/>
                <w:szCs w:val="20"/>
              </w:rPr>
            </w:pPr>
            <w:r w:rsidRPr="00F50CE2">
              <w:rPr>
                <w:rFonts w:ascii="Tahoma" w:hAnsi="Tahoma" w:cs="Tahoma"/>
                <w:b/>
                <w:bCs/>
                <w:sz w:val="20"/>
                <w:szCs w:val="20"/>
              </w:rPr>
              <w:t>Предложение за нов текст в ПРСР</w:t>
            </w:r>
          </w:p>
        </w:tc>
        <w:tc>
          <w:tcPr>
            <w:tcW w:w="661" w:type="pct"/>
            <w:shd w:val="clear" w:color="auto" w:fill="D9D9D9"/>
            <w:vAlign w:val="center"/>
          </w:tcPr>
          <w:p w:rsidR="000122FA" w:rsidRPr="00F50CE2" w:rsidRDefault="000122FA" w:rsidP="00687CD7">
            <w:pPr>
              <w:spacing w:after="0" w:line="240" w:lineRule="auto"/>
              <w:jc w:val="center"/>
              <w:rPr>
                <w:rFonts w:ascii="Tahoma" w:hAnsi="Tahoma" w:cs="Tahoma"/>
                <w:b/>
                <w:bCs/>
                <w:sz w:val="20"/>
                <w:szCs w:val="20"/>
              </w:rPr>
            </w:pPr>
            <w:r w:rsidRPr="00F50CE2">
              <w:rPr>
                <w:rFonts w:ascii="Tahoma" w:hAnsi="Tahoma" w:cs="Tahoma"/>
                <w:b/>
                <w:bCs/>
                <w:sz w:val="20"/>
                <w:szCs w:val="20"/>
              </w:rPr>
              <w:t>Бележки</w:t>
            </w:r>
          </w:p>
        </w:tc>
      </w:tr>
      <w:tr w:rsidR="000122FA" w:rsidRPr="00F50CE2" w:rsidTr="004B06DD">
        <w:trPr>
          <w:trHeight w:val="589"/>
        </w:trPr>
        <w:tc>
          <w:tcPr>
            <w:tcW w:w="181" w:type="pct"/>
            <w:tcBorders>
              <w:bottom w:val="single" w:sz="4" w:space="0" w:color="auto"/>
            </w:tcBorders>
            <w:shd w:val="clear" w:color="auto" w:fill="D9D9D9"/>
            <w:vAlign w:val="center"/>
          </w:tcPr>
          <w:p w:rsidR="000122FA" w:rsidRPr="00F50CE2" w:rsidRDefault="000122FA" w:rsidP="00687CD7">
            <w:pPr>
              <w:spacing w:after="0" w:line="240" w:lineRule="auto"/>
              <w:jc w:val="center"/>
              <w:rPr>
                <w:rFonts w:ascii="Tahoma" w:hAnsi="Tahoma" w:cs="Tahoma"/>
                <w:bCs/>
                <w:sz w:val="20"/>
                <w:szCs w:val="20"/>
              </w:rPr>
            </w:pPr>
            <w:r w:rsidRPr="00F50CE2">
              <w:rPr>
                <w:rFonts w:ascii="Tahoma" w:hAnsi="Tahoma" w:cs="Tahoma"/>
                <w:bCs/>
                <w:sz w:val="20"/>
                <w:szCs w:val="20"/>
              </w:rPr>
              <w:t>1</w:t>
            </w:r>
          </w:p>
        </w:tc>
        <w:tc>
          <w:tcPr>
            <w:tcW w:w="1115" w:type="pct"/>
            <w:tcBorders>
              <w:bottom w:val="single" w:sz="4" w:space="0" w:color="auto"/>
            </w:tcBorders>
            <w:shd w:val="clear" w:color="auto" w:fill="D9D9D9"/>
            <w:vAlign w:val="center"/>
          </w:tcPr>
          <w:p w:rsidR="000122FA" w:rsidRPr="00F50CE2" w:rsidRDefault="004C1ADE" w:rsidP="00687CD7">
            <w:pPr>
              <w:spacing w:after="0" w:line="240" w:lineRule="auto"/>
              <w:jc w:val="center"/>
              <w:rPr>
                <w:rFonts w:ascii="Tahoma" w:hAnsi="Tahoma" w:cs="Tahoma"/>
                <w:b/>
                <w:bCs/>
                <w:sz w:val="20"/>
                <w:szCs w:val="20"/>
              </w:rPr>
            </w:pPr>
            <w:r w:rsidRPr="00F50CE2">
              <w:rPr>
                <w:rFonts w:ascii="Tahoma" w:hAnsi="Tahoma" w:cs="Tahoma"/>
                <w:sz w:val="20"/>
                <w:szCs w:val="20"/>
              </w:rPr>
              <w:t xml:space="preserve">8.2.15 </w:t>
            </w:r>
            <w:r w:rsidR="00D3789A" w:rsidRPr="00F50CE2">
              <w:rPr>
                <w:rFonts w:ascii="Tahoma" w:hAnsi="Tahoma" w:cs="Tahoma"/>
                <w:sz w:val="20"/>
                <w:szCs w:val="20"/>
              </w:rPr>
              <w:t>Мярка 1</w:t>
            </w:r>
            <w:r w:rsidRPr="00F50CE2">
              <w:rPr>
                <w:rFonts w:ascii="Tahoma" w:hAnsi="Tahoma" w:cs="Tahoma"/>
                <w:sz w:val="20"/>
                <w:szCs w:val="20"/>
              </w:rPr>
              <w:t>9</w:t>
            </w:r>
            <w:r w:rsidR="00D3789A" w:rsidRPr="00F50CE2">
              <w:rPr>
                <w:rFonts w:ascii="Tahoma" w:hAnsi="Tahoma" w:cs="Tahoma"/>
                <w:sz w:val="20"/>
                <w:szCs w:val="20"/>
              </w:rPr>
              <w:t xml:space="preserve"> </w:t>
            </w:r>
            <w:r w:rsidRPr="00F50CE2">
              <w:rPr>
                <w:rFonts w:ascii="Tahoma" w:hAnsi="Tahoma" w:cs="Tahoma"/>
                <w:sz w:val="20"/>
                <w:szCs w:val="20"/>
              </w:rPr>
              <w:t>ВОМР</w:t>
            </w:r>
          </w:p>
        </w:tc>
        <w:tc>
          <w:tcPr>
            <w:tcW w:w="1546" w:type="pct"/>
            <w:tcBorders>
              <w:bottom w:val="single" w:sz="4" w:space="0" w:color="auto"/>
            </w:tcBorders>
            <w:shd w:val="clear" w:color="auto" w:fill="D9D9D9"/>
          </w:tcPr>
          <w:p w:rsidR="000122FA" w:rsidRPr="00F50CE2" w:rsidRDefault="000122FA" w:rsidP="00687CD7">
            <w:pPr>
              <w:spacing w:after="0" w:line="240" w:lineRule="auto"/>
              <w:jc w:val="both"/>
              <w:rPr>
                <w:rFonts w:ascii="Tahoma" w:hAnsi="Tahoma" w:cs="Tahoma"/>
                <w:b/>
                <w:bCs/>
                <w:sz w:val="20"/>
                <w:szCs w:val="20"/>
              </w:rPr>
            </w:pPr>
          </w:p>
        </w:tc>
        <w:tc>
          <w:tcPr>
            <w:tcW w:w="1497" w:type="pct"/>
            <w:tcBorders>
              <w:bottom w:val="single" w:sz="4" w:space="0" w:color="auto"/>
            </w:tcBorders>
            <w:shd w:val="clear" w:color="auto" w:fill="D9D9D9"/>
          </w:tcPr>
          <w:p w:rsidR="000122FA" w:rsidRPr="00F50CE2" w:rsidRDefault="000122FA" w:rsidP="00687CD7">
            <w:pPr>
              <w:spacing w:after="0" w:line="240" w:lineRule="auto"/>
              <w:jc w:val="both"/>
              <w:rPr>
                <w:rFonts w:ascii="Tahoma" w:hAnsi="Tahoma" w:cs="Tahoma"/>
                <w:b/>
                <w:bCs/>
                <w:sz w:val="20"/>
                <w:szCs w:val="20"/>
              </w:rPr>
            </w:pPr>
          </w:p>
        </w:tc>
        <w:tc>
          <w:tcPr>
            <w:tcW w:w="661" w:type="pct"/>
            <w:tcBorders>
              <w:bottom w:val="single" w:sz="4" w:space="0" w:color="auto"/>
            </w:tcBorders>
            <w:shd w:val="clear" w:color="auto" w:fill="D9D9D9"/>
          </w:tcPr>
          <w:p w:rsidR="000122FA" w:rsidRPr="00F50CE2" w:rsidRDefault="000122FA" w:rsidP="00687CD7">
            <w:pPr>
              <w:spacing w:after="0" w:line="240" w:lineRule="auto"/>
              <w:jc w:val="center"/>
              <w:rPr>
                <w:rFonts w:ascii="Tahoma" w:hAnsi="Tahoma" w:cs="Tahoma"/>
                <w:b/>
                <w:bCs/>
                <w:sz w:val="20"/>
                <w:szCs w:val="20"/>
              </w:rPr>
            </w:pPr>
          </w:p>
        </w:tc>
      </w:tr>
      <w:tr w:rsidR="000122FA" w:rsidRPr="00F50CE2" w:rsidTr="00A2001D">
        <w:trPr>
          <w:trHeight w:val="223"/>
        </w:trPr>
        <w:tc>
          <w:tcPr>
            <w:tcW w:w="181" w:type="pct"/>
            <w:shd w:val="clear" w:color="auto" w:fill="auto"/>
          </w:tcPr>
          <w:p w:rsidR="000122FA" w:rsidRPr="00F50CE2" w:rsidRDefault="0021565A" w:rsidP="00A2001D">
            <w:pPr>
              <w:spacing w:after="0" w:line="240" w:lineRule="auto"/>
              <w:jc w:val="center"/>
              <w:rPr>
                <w:rFonts w:ascii="Tahoma" w:hAnsi="Tahoma" w:cs="Tahoma"/>
                <w:bCs/>
                <w:sz w:val="20"/>
                <w:szCs w:val="20"/>
              </w:rPr>
            </w:pPr>
            <w:r w:rsidRPr="00F50CE2">
              <w:rPr>
                <w:rFonts w:ascii="Tahoma" w:hAnsi="Tahoma" w:cs="Tahoma"/>
                <w:bCs/>
                <w:sz w:val="20"/>
                <w:szCs w:val="20"/>
              </w:rPr>
              <w:t>1.1</w:t>
            </w:r>
          </w:p>
        </w:tc>
        <w:tc>
          <w:tcPr>
            <w:tcW w:w="1115" w:type="pct"/>
            <w:shd w:val="clear" w:color="auto" w:fill="auto"/>
          </w:tcPr>
          <w:p w:rsidR="000122FA" w:rsidRPr="00F50CE2" w:rsidRDefault="0021565A" w:rsidP="00A2001D">
            <w:pPr>
              <w:spacing w:after="0" w:line="240" w:lineRule="auto"/>
              <w:jc w:val="both"/>
              <w:rPr>
                <w:rFonts w:ascii="Tahoma" w:hAnsi="Tahoma" w:cs="Tahoma"/>
                <w:sz w:val="20"/>
                <w:szCs w:val="20"/>
              </w:rPr>
            </w:pPr>
            <w:r w:rsidRPr="00F50CE2">
              <w:rPr>
                <w:rFonts w:ascii="Tahoma" w:hAnsi="Tahoma" w:cs="Tahoma"/>
                <w:sz w:val="20"/>
                <w:szCs w:val="20"/>
              </w:rPr>
              <w:t>8.2.</w:t>
            </w:r>
            <w:r w:rsidR="004C1ADE" w:rsidRPr="00F50CE2">
              <w:rPr>
                <w:rFonts w:ascii="Tahoma" w:hAnsi="Tahoma" w:cs="Tahoma"/>
                <w:sz w:val="20"/>
                <w:szCs w:val="20"/>
              </w:rPr>
              <w:t>15</w:t>
            </w:r>
            <w:r w:rsidRPr="00F50CE2">
              <w:rPr>
                <w:rFonts w:ascii="Tahoma" w:hAnsi="Tahoma" w:cs="Tahoma"/>
                <w:sz w:val="20"/>
                <w:szCs w:val="20"/>
              </w:rPr>
              <w:t xml:space="preserve">.2. Общо описание на мярката, включително нейната интервенционна логика и нейният принос за областите с поставен акцент и </w:t>
            </w:r>
            <w:proofErr w:type="spellStart"/>
            <w:r w:rsidRPr="00F50CE2">
              <w:rPr>
                <w:rFonts w:ascii="Tahoma" w:hAnsi="Tahoma" w:cs="Tahoma"/>
                <w:sz w:val="20"/>
                <w:szCs w:val="20"/>
              </w:rPr>
              <w:t>междусекторните</w:t>
            </w:r>
            <w:proofErr w:type="spellEnd"/>
            <w:r w:rsidRPr="00F50CE2">
              <w:rPr>
                <w:rFonts w:ascii="Tahoma" w:hAnsi="Tahoma" w:cs="Tahoma"/>
                <w:sz w:val="20"/>
                <w:szCs w:val="20"/>
              </w:rPr>
              <w:t xml:space="preserve"> цели</w:t>
            </w:r>
          </w:p>
          <w:p w:rsidR="004C1ADE" w:rsidRPr="00F50CE2" w:rsidRDefault="004C1ADE" w:rsidP="00A2001D">
            <w:pPr>
              <w:spacing w:after="0" w:line="240" w:lineRule="auto"/>
              <w:jc w:val="both"/>
              <w:rPr>
                <w:rFonts w:ascii="Tahoma" w:hAnsi="Tahoma" w:cs="Tahoma"/>
                <w:b/>
                <w:bCs/>
                <w:sz w:val="20"/>
                <w:szCs w:val="20"/>
              </w:rPr>
            </w:pPr>
          </w:p>
        </w:tc>
        <w:tc>
          <w:tcPr>
            <w:tcW w:w="1546" w:type="pct"/>
            <w:shd w:val="clear" w:color="auto" w:fill="auto"/>
          </w:tcPr>
          <w:p w:rsidR="000122FA" w:rsidRPr="00F50CE2" w:rsidRDefault="004C1ADE" w:rsidP="00A2001D">
            <w:pPr>
              <w:spacing w:after="0" w:line="240" w:lineRule="auto"/>
              <w:jc w:val="both"/>
              <w:rPr>
                <w:rFonts w:ascii="Tahoma" w:hAnsi="Tahoma" w:cs="Tahoma"/>
                <w:sz w:val="20"/>
                <w:szCs w:val="20"/>
              </w:rPr>
            </w:pPr>
            <w:r w:rsidRPr="00F50CE2">
              <w:rPr>
                <w:rFonts w:ascii="Tahoma" w:hAnsi="Tahoma" w:cs="Tahoma"/>
                <w:sz w:val="20"/>
                <w:szCs w:val="20"/>
              </w:rPr>
              <w:t>Подкрепата по Европейския земеделски фонд за развитие на селските райони се прилага само на територията на селски райони.</w:t>
            </w:r>
          </w:p>
        </w:tc>
        <w:tc>
          <w:tcPr>
            <w:tcW w:w="1497" w:type="pct"/>
            <w:shd w:val="clear" w:color="auto" w:fill="auto"/>
          </w:tcPr>
          <w:p w:rsidR="0021565A" w:rsidRPr="00F50CE2" w:rsidRDefault="004C1ADE" w:rsidP="00A2001D">
            <w:pPr>
              <w:spacing w:after="0" w:line="240" w:lineRule="auto"/>
              <w:jc w:val="both"/>
              <w:rPr>
                <w:rFonts w:ascii="Tahoma" w:hAnsi="Tahoma" w:cs="Tahoma"/>
                <w:sz w:val="20"/>
                <w:szCs w:val="20"/>
              </w:rPr>
            </w:pPr>
            <w:r w:rsidRPr="00F50CE2">
              <w:rPr>
                <w:rFonts w:ascii="Tahoma" w:hAnsi="Tahoma" w:cs="Tahoma"/>
                <w:sz w:val="20"/>
                <w:szCs w:val="20"/>
              </w:rPr>
              <w:t xml:space="preserve">Подкрепата по Европейския земеделски фонд за развитие на селските райони </w:t>
            </w:r>
            <w:r w:rsidRPr="00F50CE2">
              <w:rPr>
                <w:rFonts w:ascii="Tahoma" w:hAnsi="Tahoma" w:cs="Tahoma"/>
                <w:color w:val="FF0000"/>
                <w:sz w:val="20"/>
                <w:szCs w:val="20"/>
              </w:rPr>
              <w:t xml:space="preserve">по подмярка 19.2 „Прилагане на операции в рамките на стратегии за водено от общностите местно развитие“ се предоставя </w:t>
            </w:r>
            <w:r w:rsidRPr="00F50CE2">
              <w:rPr>
                <w:rFonts w:ascii="Tahoma" w:hAnsi="Tahoma" w:cs="Tahoma"/>
                <w:sz w:val="20"/>
                <w:szCs w:val="20"/>
              </w:rPr>
              <w:t xml:space="preserve">само на територията на селските райони, </w:t>
            </w:r>
            <w:r w:rsidRPr="00F50CE2">
              <w:rPr>
                <w:rFonts w:ascii="Tahoma" w:hAnsi="Tahoma" w:cs="Tahoma"/>
                <w:color w:val="FF0000"/>
                <w:sz w:val="20"/>
                <w:szCs w:val="20"/>
              </w:rPr>
              <w:t>а по останалите подмерки – на цялата територия на прилагане на подхода ВОМР.</w:t>
            </w:r>
          </w:p>
        </w:tc>
        <w:tc>
          <w:tcPr>
            <w:tcW w:w="661" w:type="pct"/>
            <w:shd w:val="clear" w:color="auto" w:fill="auto"/>
          </w:tcPr>
          <w:p w:rsidR="000122FA" w:rsidRPr="00F50CE2" w:rsidRDefault="000122FA" w:rsidP="00A2001D">
            <w:pPr>
              <w:spacing w:after="0" w:line="240" w:lineRule="auto"/>
              <w:jc w:val="center"/>
              <w:rPr>
                <w:rFonts w:ascii="Tahoma" w:hAnsi="Tahoma" w:cs="Tahoma"/>
                <w:b/>
                <w:bCs/>
                <w:sz w:val="20"/>
                <w:szCs w:val="20"/>
              </w:rPr>
            </w:pPr>
          </w:p>
        </w:tc>
      </w:tr>
      <w:tr w:rsidR="000122FA" w:rsidRPr="00F50CE2" w:rsidTr="00A2001D">
        <w:trPr>
          <w:trHeight w:val="223"/>
        </w:trPr>
        <w:tc>
          <w:tcPr>
            <w:tcW w:w="181" w:type="pct"/>
            <w:shd w:val="clear" w:color="auto" w:fill="auto"/>
          </w:tcPr>
          <w:p w:rsidR="000122FA" w:rsidRPr="00F50CE2" w:rsidRDefault="00D3789A" w:rsidP="00A2001D">
            <w:pPr>
              <w:spacing w:after="0" w:line="240" w:lineRule="auto"/>
              <w:jc w:val="center"/>
              <w:rPr>
                <w:rFonts w:ascii="Tahoma" w:hAnsi="Tahoma" w:cs="Tahoma"/>
                <w:bCs/>
                <w:sz w:val="20"/>
                <w:szCs w:val="20"/>
              </w:rPr>
            </w:pPr>
            <w:r w:rsidRPr="00F50CE2">
              <w:rPr>
                <w:rFonts w:ascii="Tahoma" w:hAnsi="Tahoma" w:cs="Tahoma"/>
                <w:bCs/>
                <w:sz w:val="20"/>
                <w:szCs w:val="20"/>
              </w:rPr>
              <w:t>1.2</w:t>
            </w:r>
          </w:p>
        </w:tc>
        <w:tc>
          <w:tcPr>
            <w:tcW w:w="1115" w:type="pct"/>
            <w:shd w:val="clear" w:color="auto" w:fill="auto"/>
          </w:tcPr>
          <w:p w:rsidR="000122FA" w:rsidRPr="00F50CE2" w:rsidRDefault="00533805" w:rsidP="00A2001D">
            <w:pPr>
              <w:spacing w:after="0" w:line="240" w:lineRule="auto"/>
              <w:jc w:val="both"/>
              <w:rPr>
                <w:rFonts w:ascii="Tahoma" w:hAnsi="Tahoma" w:cs="Tahoma"/>
                <w:bCs/>
                <w:sz w:val="20"/>
                <w:szCs w:val="20"/>
              </w:rPr>
            </w:pPr>
            <w:r w:rsidRPr="00F50CE2">
              <w:rPr>
                <w:rFonts w:ascii="Tahoma" w:hAnsi="Tahoma" w:cs="Tahoma"/>
                <w:bCs/>
                <w:sz w:val="20"/>
                <w:szCs w:val="20"/>
              </w:rPr>
              <w:t>8</w:t>
            </w:r>
            <w:r w:rsidR="0021565A" w:rsidRPr="00F50CE2">
              <w:rPr>
                <w:rFonts w:ascii="Tahoma" w:hAnsi="Tahoma" w:cs="Tahoma"/>
                <w:bCs/>
                <w:sz w:val="20"/>
                <w:szCs w:val="20"/>
              </w:rPr>
              <w:t>.</w:t>
            </w:r>
            <w:r w:rsidRPr="00F50CE2">
              <w:rPr>
                <w:rFonts w:ascii="Tahoma" w:hAnsi="Tahoma" w:cs="Tahoma"/>
                <w:bCs/>
                <w:sz w:val="20"/>
                <w:szCs w:val="20"/>
              </w:rPr>
              <w:t>2</w:t>
            </w:r>
            <w:r w:rsidR="0021565A" w:rsidRPr="00F50CE2">
              <w:rPr>
                <w:rFonts w:ascii="Tahoma" w:hAnsi="Tahoma" w:cs="Tahoma"/>
                <w:bCs/>
                <w:sz w:val="20"/>
                <w:szCs w:val="20"/>
              </w:rPr>
              <w:t>.1</w:t>
            </w:r>
            <w:r w:rsidRPr="00F50CE2">
              <w:rPr>
                <w:rFonts w:ascii="Tahoma" w:hAnsi="Tahoma" w:cs="Tahoma"/>
                <w:bCs/>
                <w:sz w:val="20"/>
                <w:szCs w:val="20"/>
              </w:rPr>
              <w:t>5</w:t>
            </w:r>
            <w:r w:rsidR="0021565A" w:rsidRPr="00F50CE2">
              <w:rPr>
                <w:rFonts w:ascii="Tahoma" w:hAnsi="Tahoma" w:cs="Tahoma"/>
                <w:bCs/>
                <w:sz w:val="20"/>
                <w:szCs w:val="20"/>
              </w:rPr>
              <w:t>.3.</w:t>
            </w:r>
            <w:r w:rsidRPr="00F50CE2">
              <w:rPr>
                <w:rFonts w:ascii="Tahoma" w:hAnsi="Tahoma" w:cs="Tahoma"/>
                <w:bCs/>
                <w:sz w:val="20"/>
                <w:szCs w:val="20"/>
              </w:rPr>
              <w:t>2</w:t>
            </w:r>
            <w:r w:rsidR="0021565A" w:rsidRPr="00F50CE2">
              <w:rPr>
                <w:rFonts w:ascii="Tahoma" w:hAnsi="Tahoma" w:cs="Tahoma"/>
                <w:bCs/>
                <w:sz w:val="20"/>
                <w:szCs w:val="20"/>
              </w:rPr>
              <w:t>.</w:t>
            </w:r>
            <w:r w:rsidRPr="00F50CE2">
              <w:rPr>
                <w:rFonts w:ascii="Tahoma" w:hAnsi="Tahoma" w:cs="Tahoma"/>
                <w:bCs/>
                <w:sz w:val="20"/>
                <w:szCs w:val="20"/>
              </w:rPr>
              <w:t>6</w:t>
            </w:r>
            <w:r w:rsidR="0021565A" w:rsidRPr="00F50CE2">
              <w:rPr>
                <w:rFonts w:ascii="Tahoma" w:hAnsi="Tahoma" w:cs="Tahoma"/>
                <w:bCs/>
                <w:sz w:val="20"/>
                <w:szCs w:val="20"/>
              </w:rPr>
              <w:t xml:space="preserve"> </w:t>
            </w:r>
            <w:r w:rsidRPr="00F50CE2">
              <w:rPr>
                <w:rFonts w:ascii="Tahoma" w:hAnsi="Tahoma" w:cs="Tahoma"/>
                <w:bCs/>
                <w:sz w:val="20"/>
                <w:szCs w:val="20"/>
              </w:rPr>
              <w:t>Условия за допустимост</w:t>
            </w:r>
          </w:p>
        </w:tc>
        <w:tc>
          <w:tcPr>
            <w:tcW w:w="1546" w:type="pct"/>
            <w:shd w:val="clear" w:color="auto" w:fill="auto"/>
          </w:tcPr>
          <w:p w:rsidR="00533805" w:rsidRPr="00F50CE2" w:rsidRDefault="00533805" w:rsidP="00A2001D">
            <w:pPr>
              <w:spacing w:after="0" w:line="240" w:lineRule="auto"/>
              <w:jc w:val="both"/>
              <w:rPr>
                <w:rFonts w:ascii="Tahoma" w:hAnsi="Tahoma" w:cs="Tahoma"/>
                <w:sz w:val="20"/>
                <w:szCs w:val="20"/>
              </w:rPr>
            </w:pPr>
            <w:r w:rsidRPr="00F50CE2">
              <w:rPr>
                <w:rFonts w:ascii="Tahoma" w:hAnsi="Tahoma" w:cs="Tahoma"/>
                <w:sz w:val="20"/>
                <w:szCs w:val="20"/>
              </w:rPr>
              <w:t>Бенефициентите по подмярката са с постоянен адрес или седалище на територията на МИГ.</w:t>
            </w:r>
          </w:p>
          <w:p w:rsidR="000122FA" w:rsidRPr="00F50CE2" w:rsidRDefault="000122FA" w:rsidP="00A2001D">
            <w:pPr>
              <w:spacing w:after="0" w:line="240" w:lineRule="auto"/>
              <w:jc w:val="both"/>
              <w:rPr>
                <w:rFonts w:ascii="Tahoma" w:hAnsi="Tahoma" w:cs="Tahoma"/>
                <w:sz w:val="20"/>
                <w:szCs w:val="20"/>
              </w:rPr>
            </w:pPr>
          </w:p>
        </w:tc>
        <w:tc>
          <w:tcPr>
            <w:tcW w:w="1497" w:type="pct"/>
            <w:shd w:val="clear" w:color="auto" w:fill="auto"/>
          </w:tcPr>
          <w:p w:rsidR="00533805" w:rsidRPr="00F50CE2" w:rsidRDefault="00533805" w:rsidP="00A2001D">
            <w:pPr>
              <w:spacing w:after="0" w:line="240" w:lineRule="auto"/>
              <w:jc w:val="both"/>
              <w:rPr>
                <w:rFonts w:ascii="Tahoma" w:hAnsi="Tahoma" w:cs="Tahoma"/>
                <w:color w:val="FF0000"/>
                <w:sz w:val="20"/>
                <w:szCs w:val="20"/>
              </w:rPr>
            </w:pPr>
            <w:r w:rsidRPr="00F50CE2">
              <w:rPr>
                <w:rFonts w:ascii="Tahoma" w:hAnsi="Tahoma" w:cs="Tahoma"/>
                <w:sz w:val="20"/>
                <w:szCs w:val="20"/>
              </w:rPr>
              <w:t>Бенефициентите по подмярката са с постоянен адрес или седалище на територията на МИГ,</w:t>
            </w:r>
            <w:r w:rsidRPr="00F50CE2">
              <w:rPr>
                <w:rFonts w:ascii="Tahoma" w:hAnsi="Tahoma" w:cs="Tahoma"/>
                <w:color w:val="FF0000"/>
                <w:sz w:val="20"/>
                <w:szCs w:val="20"/>
              </w:rPr>
              <w:t xml:space="preserve"> с изключение на бенефициентите общини от селските райони със седалище в областен град.</w:t>
            </w:r>
          </w:p>
          <w:p w:rsidR="00533805" w:rsidRPr="00F50CE2" w:rsidRDefault="00533805" w:rsidP="00A2001D">
            <w:pPr>
              <w:spacing w:after="0" w:line="240" w:lineRule="auto"/>
              <w:jc w:val="both"/>
              <w:rPr>
                <w:rFonts w:ascii="Tahoma" w:hAnsi="Tahoma" w:cs="Tahoma"/>
                <w:color w:val="FF0000"/>
                <w:sz w:val="20"/>
                <w:szCs w:val="20"/>
              </w:rPr>
            </w:pPr>
          </w:p>
          <w:p w:rsidR="00533805" w:rsidRPr="00F50CE2" w:rsidRDefault="00533805" w:rsidP="00A2001D">
            <w:pPr>
              <w:spacing w:after="0" w:line="240" w:lineRule="auto"/>
              <w:jc w:val="both"/>
              <w:rPr>
                <w:rFonts w:ascii="Tahoma" w:hAnsi="Tahoma" w:cs="Tahoma"/>
                <w:sz w:val="20"/>
                <w:szCs w:val="20"/>
              </w:rPr>
            </w:pPr>
            <w:r w:rsidRPr="00F50CE2">
              <w:rPr>
                <w:rFonts w:ascii="Tahoma" w:hAnsi="Tahoma" w:cs="Tahoma"/>
                <w:sz w:val="20"/>
                <w:szCs w:val="20"/>
              </w:rPr>
              <w:t>Добавя се нов текст:</w:t>
            </w:r>
          </w:p>
          <w:p w:rsidR="000122FA" w:rsidRPr="00F50CE2" w:rsidRDefault="00533805" w:rsidP="00A2001D">
            <w:pPr>
              <w:spacing w:after="0" w:line="240" w:lineRule="auto"/>
              <w:jc w:val="both"/>
              <w:rPr>
                <w:rFonts w:ascii="Tahoma" w:hAnsi="Tahoma" w:cs="Tahoma"/>
                <w:color w:val="FF0000"/>
                <w:sz w:val="20"/>
                <w:szCs w:val="20"/>
              </w:rPr>
            </w:pPr>
            <w:r w:rsidRPr="00F50CE2">
              <w:rPr>
                <w:rFonts w:ascii="Tahoma" w:hAnsi="Tahoma" w:cs="Tahoma"/>
                <w:color w:val="FF0000"/>
                <w:sz w:val="20"/>
                <w:szCs w:val="20"/>
              </w:rPr>
              <w:t>Подкрепата от Европейския земеделски фонд за развитие на селските райони се предоставя само за територията на селския район на МИГ, като бенефициентите са с постоянен адрес или седалище на територията на селския район, с изключение на бенефициентите общини от селските райони със седалище в областен град.</w:t>
            </w:r>
          </w:p>
        </w:tc>
        <w:tc>
          <w:tcPr>
            <w:tcW w:w="661" w:type="pct"/>
            <w:shd w:val="clear" w:color="auto" w:fill="auto"/>
          </w:tcPr>
          <w:p w:rsidR="000122FA" w:rsidRPr="00F50CE2" w:rsidRDefault="000122FA" w:rsidP="00A2001D">
            <w:pPr>
              <w:spacing w:after="0" w:line="240" w:lineRule="auto"/>
              <w:jc w:val="center"/>
              <w:rPr>
                <w:rFonts w:ascii="Tahoma" w:hAnsi="Tahoma" w:cs="Tahoma"/>
                <w:b/>
                <w:bCs/>
                <w:sz w:val="20"/>
                <w:szCs w:val="20"/>
              </w:rPr>
            </w:pPr>
          </w:p>
        </w:tc>
      </w:tr>
    </w:tbl>
    <w:p w:rsidR="000122FA" w:rsidRPr="00F50CE2" w:rsidRDefault="000122FA" w:rsidP="00687CD7">
      <w:pPr>
        <w:spacing w:after="0" w:line="240" w:lineRule="auto"/>
        <w:jc w:val="both"/>
        <w:rPr>
          <w:rFonts w:ascii="Tahoma" w:hAnsi="Tahoma" w:cs="Tahoma"/>
          <w:bCs/>
        </w:rPr>
      </w:pPr>
    </w:p>
    <w:sectPr w:rsidR="000122FA" w:rsidRPr="00F50CE2" w:rsidSect="000122F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C38" w:rsidRDefault="00812C38" w:rsidP="0039528E">
      <w:pPr>
        <w:spacing w:after="0" w:line="240" w:lineRule="auto"/>
      </w:pPr>
      <w:r>
        <w:separator/>
      </w:r>
    </w:p>
  </w:endnote>
  <w:endnote w:type="continuationSeparator" w:id="0">
    <w:p w:rsidR="00812C38" w:rsidRDefault="00812C38"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01174"/>
      <w:docPartObj>
        <w:docPartGallery w:val="Page Numbers (Bottom of Page)"/>
        <w:docPartUnique/>
      </w:docPartObj>
    </w:sdtPr>
    <w:sdtEndPr>
      <w:rPr>
        <w:noProof/>
      </w:rPr>
    </w:sdtEndPr>
    <w:sdtContent>
      <w:p w:rsidR="0039528E" w:rsidRDefault="0039528E">
        <w:pPr>
          <w:pStyle w:val="Footer"/>
          <w:jc w:val="right"/>
        </w:pPr>
        <w:r>
          <w:fldChar w:fldCharType="begin"/>
        </w:r>
        <w:r>
          <w:instrText xml:space="preserve"> PAGE   \* MERGEFORMAT </w:instrText>
        </w:r>
        <w:r>
          <w:fldChar w:fldCharType="separate"/>
        </w:r>
        <w:r w:rsidR="003508B4">
          <w:rPr>
            <w:noProof/>
          </w:rPr>
          <w:t>3</w:t>
        </w:r>
        <w:r>
          <w:rPr>
            <w:noProof/>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C38" w:rsidRDefault="00812C38" w:rsidP="0039528E">
      <w:pPr>
        <w:spacing w:after="0" w:line="240" w:lineRule="auto"/>
      </w:pPr>
      <w:r>
        <w:separator/>
      </w:r>
    </w:p>
  </w:footnote>
  <w:footnote w:type="continuationSeparator" w:id="0">
    <w:p w:rsidR="00812C38" w:rsidRDefault="00812C38" w:rsidP="003952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28E" w:rsidRPr="00F50CE2" w:rsidRDefault="003508B4">
    <w:pPr>
      <w:pStyle w:val="Header"/>
      <w:rPr>
        <w:rFonts w:ascii="Tahoma" w:hAnsi="Tahoma" w:cs="Tahoma"/>
        <w:sz w:val="20"/>
        <w:szCs w:val="20"/>
        <w:lang w:val="en-US"/>
      </w:rPr>
    </w:pPr>
    <w:r>
      <w:rPr>
        <w:rFonts w:ascii="Tahoma" w:hAnsi="Tahoma" w:cs="Tahoma"/>
        <w:sz w:val="20"/>
        <w:szCs w:val="20"/>
      </w:rPr>
      <w:t>Приложение</w:t>
    </w:r>
    <w:r>
      <w:rPr>
        <w:rFonts w:ascii="Tahoma" w:hAnsi="Tahoma" w:cs="Tahoma"/>
        <w:sz w:val="20"/>
        <w:szCs w:val="20"/>
        <w:lang w:val="en-US"/>
      </w:rPr>
      <w:t xml:space="preserve"> </w:t>
    </w:r>
    <w:r w:rsidR="006E78A2" w:rsidRPr="00F50CE2">
      <w:rPr>
        <w:rFonts w:ascii="Tahoma" w:hAnsi="Tahoma" w:cs="Tahoma"/>
        <w:sz w:val="20"/>
        <w:szCs w:val="20"/>
        <w:lang w:val="en-US"/>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53436603"/>
    <w:multiLevelType w:val="multilevel"/>
    <w:tmpl w:val="A09AD310"/>
    <w:numStyleLink w:val="Headings"/>
  </w:abstractNum>
  <w:abstractNum w:abstractNumId="7">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9">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0"/>
  </w:num>
  <w:num w:numId="4">
    <w:abstractNumId w:val="9"/>
  </w:num>
  <w:num w:numId="5">
    <w:abstractNumId w:val="1"/>
  </w:num>
  <w:num w:numId="6">
    <w:abstractNumId w:val="11"/>
  </w:num>
  <w:num w:numId="7">
    <w:abstractNumId w:val="3"/>
  </w:num>
  <w:num w:numId="8">
    <w:abstractNumId w:val="2"/>
  </w:num>
  <w:num w:numId="9">
    <w:abstractNumId w:val="0"/>
  </w:num>
  <w:num w:numId="10">
    <w:abstractNumId w:val="7"/>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122FA"/>
    <w:rsid w:val="000447DF"/>
    <w:rsid w:val="00061E68"/>
    <w:rsid w:val="00083775"/>
    <w:rsid w:val="0021565A"/>
    <w:rsid w:val="002D1804"/>
    <w:rsid w:val="00310593"/>
    <w:rsid w:val="003508B4"/>
    <w:rsid w:val="00394728"/>
    <w:rsid w:val="0039528E"/>
    <w:rsid w:val="00416AED"/>
    <w:rsid w:val="00467543"/>
    <w:rsid w:val="004B06DD"/>
    <w:rsid w:val="004C1ADE"/>
    <w:rsid w:val="004D6C6F"/>
    <w:rsid w:val="00533805"/>
    <w:rsid w:val="00562325"/>
    <w:rsid w:val="0063062D"/>
    <w:rsid w:val="00687CD7"/>
    <w:rsid w:val="006E78A2"/>
    <w:rsid w:val="00716F43"/>
    <w:rsid w:val="00722FAC"/>
    <w:rsid w:val="00745977"/>
    <w:rsid w:val="0078287A"/>
    <w:rsid w:val="00802B96"/>
    <w:rsid w:val="00812C38"/>
    <w:rsid w:val="0084626A"/>
    <w:rsid w:val="00920363"/>
    <w:rsid w:val="009224F8"/>
    <w:rsid w:val="00982E05"/>
    <w:rsid w:val="00A2001D"/>
    <w:rsid w:val="00B063C3"/>
    <w:rsid w:val="00B32F4D"/>
    <w:rsid w:val="00B3480A"/>
    <w:rsid w:val="00B4444C"/>
    <w:rsid w:val="00BF5889"/>
    <w:rsid w:val="00C95F78"/>
    <w:rsid w:val="00CD5DF1"/>
    <w:rsid w:val="00D01145"/>
    <w:rsid w:val="00D3789A"/>
    <w:rsid w:val="00D631BE"/>
    <w:rsid w:val="00D711B2"/>
    <w:rsid w:val="00DF3258"/>
    <w:rsid w:val="00ED4586"/>
    <w:rsid w:val="00F16665"/>
    <w:rsid w:val="00F50CE2"/>
    <w:rsid w:val="00F52022"/>
    <w:rsid w:val="00F547D0"/>
    <w:rsid w:val="00F633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4B300-D995-442F-8816-8E0D8322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Vladislav E. Tsvetanov</cp:lastModifiedBy>
  <cp:revision>7</cp:revision>
  <cp:lastPrinted>2016-05-17T15:12:00Z</cp:lastPrinted>
  <dcterms:created xsi:type="dcterms:W3CDTF">2016-07-20T10:38:00Z</dcterms:created>
  <dcterms:modified xsi:type="dcterms:W3CDTF">2016-07-20T11:27:00Z</dcterms:modified>
</cp:coreProperties>
</file>